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27" w:rsidRPr="003B032E" w:rsidRDefault="000E2527" w:rsidP="000E2527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ˎ̥" w:cs="Arial" w:hint="eastAsia"/>
          <w:color w:val="000000"/>
          <w:kern w:val="0"/>
          <w:sz w:val="32"/>
          <w:szCs w:val="32"/>
        </w:rPr>
      </w:pPr>
      <w:r w:rsidRPr="00D64971">
        <w:rPr>
          <w:rFonts w:ascii="黑体" w:eastAsia="黑体" w:hAnsi="ˎ̥" w:cs="Arial" w:hint="eastAsia"/>
          <w:b/>
          <w:bCs/>
          <w:color w:val="000000"/>
          <w:kern w:val="0"/>
          <w:sz w:val="32"/>
          <w:szCs w:val="32"/>
        </w:rPr>
        <w:t>重点任务分工及进度安排表</w:t>
      </w:r>
    </w:p>
    <w:tbl>
      <w:tblPr>
        <w:tblW w:w="7588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"/>
        <w:gridCol w:w="3660"/>
        <w:gridCol w:w="2040"/>
        <w:gridCol w:w="1455"/>
      </w:tblGrid>
      <w:tr w:rsidR="000E2527" w:rsidRPr="003B032E" w:rsidTr="00C91F9B">
        <w:trPr>
          <w:trHeight w:val="397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工作任务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时间进度</w:t>
            </w:r>
          </w:p>
        </w:tc>
      </w:tr>
      <w:tr w:rsidR="000E2527" w:rsidRPr="003B032E" w:rsidTr="00C91F9B">
        <w:trPr>
          <w:trHeight w:val="141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探索捐赠知识产权收益、技术、股权、有价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证券等新型捐赠方式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省民政厅、国税局、地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税局、河南证监局、省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科技厅、知识产权局、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财政厅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397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鼓励设立慈善信托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省民政厅、河南银监局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24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动员社会公众积极参与志愿服务，构建形式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多样、内容丰富、机制健全、覆盖城乡的志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愿服务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体系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省文明办、民政厅、总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工会、团省委、省妇联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645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引导社会公众积极捐赠家庭闲置物品，广泛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设立社会捐助站点，创新发展慈善超市，发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挥网络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捐赠技术优势，方便群众就近</w:t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就便开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展捐赠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省民政厅、发展改革委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2016年6月底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前出台具体措施</w:t>
            </w:r>
          </w:p>
        </w:tc>
      </w:tr>
      <w:tr w:rsidR="000E2527" w:rsidRPr="003B032E" w:rsidTr="00C91F9B">
        <w:trPr>
          <w:trHeight w:val="1645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健全社会救助和慈善资源信息对接机制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省民政厅、教育厅、卫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生计生委、住房</w:t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城乡建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设厅、人力资源社会保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障厅</w:t>
            </w:r>
            <w:proofErr w:type="gramEnd"/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90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落实慈善组织企业所得税优惠政策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省财政厅、国税局、地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税局、民政厅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90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倡导金融机构根据慈善事业的特点和需求创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新金融产品和服务方式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人行郑州中心支行、河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南银监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90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以扶贫济困类项目为重点，加大政府财政资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金向社会组织购买服务力度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省财政厅、民政厅等相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关部门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702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广播、电视、报刊及互联网信息服务提供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者、电信运营商，应当对利用平台发起募捐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活动的慈善组织的合法性进行验证，包括查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验登记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证书、募捐主体资格证明材料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省民政厅、</w:t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省委网信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办、省新闻出版广电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局、通信管理局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24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倡导募用分离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，支持在款物募集方面有优势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的慈善组织将募得款物用于资助有服务专长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的慈善组织运作项目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24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强化慈善组织信息公开责任。鼓励新闻媒体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为慈善组织的信息公开提供帮助支持和费用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优惠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省委宣传部、</w:t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网信办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省新闻出版广电局、民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政厅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2016年3月底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前出台具体措施</w:t>
            </w:r>
          </w:p>
        </w:tc>
      </w:tr>
      <w:tr w:rsidR="000E2527" w:rsidRPr="003B032E" w:rsidTr="00C91F9B">
        <w:trPr>
          <w:trHeight w:val="124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建立健全慈善活动和慈善工作责任追究制度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省民政厅、公安厅、安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全厅、省政府外侨办、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省公务员局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418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完善慈善表彰奖励制度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省委宣传部、省民政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厅、人力资源社会保障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厅，各省辖市、县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(市、区）政府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021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完善公民志愿服务记录制度，按照国家有关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规定建立完善志愿者嘉许和回馈制度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省文明办、民政厅、团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省委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021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完善慈善人才培养政策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省教育厅、人力资源社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会保障厅、民政厅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2016年6月底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前出台具体措施</w:t>
            </w:r>
          </w:p>
        </w:tc>
      </w:tr>
      <w:tr w:rsidR="000E2527" w:rsidRPr="003B032E" w:rsidTr="00C91F9B">
        <w:trPr>
          <w:trHeight w:val="1872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大力推进慈善文化建设，加大对慈善工作的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宣传力度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省委宣传部、省政府国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资委、省教育厅、文化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厅、</w:t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省委网信办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、省新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闻出版</w:t>
            </w:r>
            <w:proofErr w:type="gramEnd"/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广电局、通信管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理局，民政厅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持续实施</w:t>
            </w:r>
          </w:p>
        </w:tc>
      </w:tr>
      <w:tr w:rsidR="000E2527" w:rsidRPr="003B032E" w:rsidTr="00C91F9B">
        <w:trPr>
          <w:trHeight w:val="1021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各省辖市、县(市、区）政府根据本意见要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求，结合实际，抓紧制定配套落实政策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各省辖市、县(市、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区）政府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527" w:rsidRPr="003B032E" w:rsidRDefault="000E2527" w:rsidP="00C91F9B">
            <w:pPr>
              <w:widowControl/>
              <w:spacing w:before="100" w:beforeAutospacing="1" w:after="100" w:afterAutospacing="1" w:line="302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2016年3月底</w:t>
            </w:r>
            <w:r w:rsidRPr="003B032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前出台具体措施</w:t>
            </w:r>
          </w:p>
        </w:tc>
      </w:tr>
    </w:tbl>
    <w:p w:rsidR="000E2527" w:rsidRPr="009A3772" w:rsidRDefault="000E2527" w:rsidP="000E2527">
      <w:pPr>
        <w:ind w:firstLine="645"/>
        <w:jc w:val="left"/>
        <w:rPr>
          <w:rFonts w:ascii="仿宋_GB2312" w:eastAsia="仿宋_GB2312" w:hint="eastAsia"/>
          <w:sz w:val="18"/>
          <w:szCs w:val="18"/>
        </w:rPr>
      </w:pPr>
    </w:p>
    <w:p w:rsidR="000E2527" w:rsidRPr="009A3772" w:rsidRDefault="000E2527" w:rsidP="000E2527">
      <w:pPr>
        <w:ind w:firstLine="645"/>
        <w:jc w:val="left"/>
        <w:rPr>
          <w:rFonts w:ascii="仿宋_GB2312" w:eastAsia="仿宋_GB2312" w:hint="eastAsia"/>
          <w:sz w:val="18"/>
          <w:szCs w:val="18"/>
        </w:rPr>
      </w:pPr>
    </w:p>
    <w:p w:rsidR="000E2527" w:rsidRPr="009A3772" w:rsidRDefault="000E2527" w:rsidP="000E2527">
      <w:pPr>
        <w:ind w:firstLine="645"/>
        <w:jc w:val="left"/>
        <w:rPr>
          <w:rFonts w:ascii="仿宋_GB2312" w:eastAsia="仿宋_GB2312" w:hint="eastAsia"/>
          <w:sz w:val="18"/>
          <w:szCs w:val="18"/>
        </w:rPr>
      </w:pPr>
    </w:p>
    <w:p w:rsidR="000E2527" w:rsidRPr="009A3772" w:rsidRDefault="000E2527" w:rsidP="000E2527">
      <w:pPr>
        <w:ind w:firstLine="645"/>
        <w:jc w:val="left"/>
        <w:rPr>
          <w:rFonts w:ascii="仿宋_GB2312" w:eastAsia="仿宋_GB2312" w:hint="eastAsia"/>
          <w:sz w:val="18"/>
          <w:szCs w:val="18"/>
        </w:rPr>
      </w:pPr>
    </w:p>
    <w:p w:rsidR="001B2AC4" w:rsidRPr="000E2527" w:rsidRDefault="001B2AC4"/>
    <w:sectPr w:rsidR="001B2AC4" w:rsidRPr="000E2527" w:rsidSect="001B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59" w:rsidRDefault="00565459" w:rsidP="000E2527">
      <w:r>
        <w:separator/>
      </w:r>
    </w:p>
  </w:endnote>
  <w:endnote w:type="continuationSeparator" w:id="0">
    <w:p w:rsidR="00565459" w:rsidRDefault="00565459" w:rsidP="000E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59" w:rsidRDefault="00565459" w:rsidP="000E2527">
      <w:r>
        <w:separator/>
      </w:r>
    </w:p>
  </w:footnote>
  <w:footnote w:type="continuationSeparator" w:id="0">
    <w:p w:rsidR="00565459" w:rsidRDefault="00565459" w:rsidP="000E2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527"/>
    <w:rsid w:val="000E2527"/>
    <w:rsid w:val="001B2AC4"/>
    <w:rsid w:val="00565459"/>
    <w:rsid w:val="009A3772"/>
    <w:rsid w:val="00D6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微软中国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2016-02-18T07:22:00Z</dcterms:created>
  <dcterms:modified xsi:type="dcterms:W3CDTF">2016-02-18T07:23:00Z</dcterms:modified>
</cp:coreProperties>
</file>